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E8" w:rsidRDefault="00ED59E8" w:rsidP="00ED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D59E8" w:rsidRDefault="00ED59E8" w:rsidP="00ED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71" w:rsidRPr="00D54E71" w:rsidRDefault="00ED59E8" w:rsidP="00D54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</w:t>
      </w:r>
      <w:r w:rsidR="00D54E71" w:rsidRPr="00D54E71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Краснодарском крае</w:t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40" w:rsidRPr="007B6AB6" w:rsidRDefault="00ED59E8" w:rsidP="007B6AB6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</w:t>
      </w:r>
      <w:r w:rsidR="005206E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06EF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Общественном совете по проведению независимой оценки качества условий оказания услуг медицинскими организациями Краснодарского края при министерстве здравоохранения Краснодарского края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Краснодарского края 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206EF" w:rsidRPr="008D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2952</w:t>
      </w:r>
      <w:r w:rsidR="007B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палатой Краснодарского края объявляется конкурс по отбору семи членов Общественного совета по проведению </w:t>
      </w:r>
      <w:r w:rsidR="00D54E71" w:rsidRPr="00D54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Краснодарском крае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общественный совет по независимой оценке качества условий оказания услуг организациями в сфере здравоохранения).</w:t>
      </w:r>
    </w:p>
    <w:p w:rsidR="00ED59E8" w:rsidRDefault="00ED59E8" w:rsidP="008D36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состав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здравоохранения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</w:t>
      </w:r>
    </w:p>
    <w:p w:rsidR="00ED59E8" w:rsidRDefault="00ED59E8" w:rsidP="00ED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 xml:space="preserve">) заявление о выдвижении своего представителя в состав общественного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здравоохранения;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е) заявление кандидата о согласии войти в состав общественного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здравоохранения;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ED59E8" w:rsidRPr="0006137F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lastRenderedPageBreak/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ED59E8" w:rsidRDefault="00ED59E8" w:rsidP="00ED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A16F7">
        <w:rPr>
          <w:rFonts w:ascii="Times New Roman" w:hAnsi="Times New Roman" w:cs="Times New Roman"/>
          <w:sz w:val="24"/>
          <w:szCs w:val="24"/>
        </w:rPr>
        <w:t>3</w:t>
      </w:r>
      <w:r w:rsidR="0098775E">
        <w:rPr>
          <w:rFonts w:ascii="Times New Roman" w:hAnsi="Times New Roman" w:cs="Times New Roman"/>
          <w:sz w:val="24"/>
          <w:szCs w:val="24"/>
        </w:rPr>
        <w:t>0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4E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98775E">
        <w:rPr>
          <w:rFonts w:ascii="Times New Roman" w:hAnsi="Times New Roman" w:cs="Times New Roman"/>
          <w:sz w:val="24"/>
          <w:szCs w:val="24"/>
        </w:rPr>
        <w:t>2</w:t>
      </w:r>
      <w:r w:rsidR="009A16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6F7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4E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г., в рабочие дни с 09.00 до 17.00 по адресу 350020, г. Краснодар, ул. Красная, 17</w:t>
      </w:r>
      <w:r w:rsidR="00CA58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314, аппарат Общественной палаты Краснодарского края, контактный телефон: 259-01-55. </w:t>
      </w:r>
    </w:p>
    <w:p w:rsidR="00ED59E8" w:rsidRDefault="00ED59E8" w:rsidP="00ED59E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ED59E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ED59E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59E8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B6AB6" w:rsidRDefault="007B6AB6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B6AB6" w:rsidRDefault="007B6AB6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B6AB6" w:rsidRDefault="007B6AB6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B6AB6" w:rsidRDefault="007B6AB6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CA5802" w:rsidRDefault="00CA5802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042BA" w:rsidRPr="006042BA" w:rsidRDefault="00ED59E8" w:rsidP="006042B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6042BA" w:rsidRPr="006042BA">
        <w:rPr>
          <w:rFonts w:ascii="Times New Roman" w:hAnsi="Times New Roman" w:cs="Times New Roman"/>
          <w:b/>
          <w:sz w:val="28"/>
          <w:szCs w:val="28"/>
        </w:rPr>
        <w:t xml:space="preserve">ТВЕРЖДЕНО </w:t>
      </w:r>
    </w:p>
    <w:p w:rsidR="006042BA" w:rsidRPr="006042BA" w:rsidRDefault="006042BA" w:rsidP="009F1C05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2B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E7313C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 </w:t>
      </w:r>
      <w:r w:rsidRPr="006042BA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="009F1C05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Pr="006042BA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6042BA" w:rsidRPr="006042BA" w:rsidRDefault="006042BA" w:rsidP="006042B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«</w:t>
      </w:r>
      <w:r w:rsidR="009B0497">
        <w:rPr>
          <w:rFonts w:ascii="Times New Roman" w:hAnsi="Times New Roman" w:cs="Times New Roman"/>
          <w:sz w:val="28"/>
          <w:szCs w:val="28"/>
        </w:rPr>
        <w:t xml:space="preserve"> 26 </w:t>
      </w:r>
      <w:r w:rsidRPr="006042BA">
        <w:rPr>
          <w:rFonts w:ascii="Times New Roman" w:hAnsi="Times New Roman" w:cs="Times New Roman"/>
          <w:sz w:val="28"/>
          <w:szCs w:val="28"/>
        </w:rPr>
        <w:t xml:space="preserve">» </w:t>
      </w:r>
      <w:r w:rsidR="009B0497">
        <w:rPr>
          <w:rFonts w:ascii="Times New Roman" w:hAnsi="Times New Roman" w:cs="Times New Roman"/>
          <w:sz w:val="28"/>
          <w:szCs w:val="28"/>
        </w:rPr>
        <w:t>февраля</w:t>
      </w:r>
      <w:r w:rsidR="00E7313C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6042BA" w:rsidRDefault="006042BA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2BA" w:rsidRDefault="006042BA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10" w:rsidRPr="006042BA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7313C" w:rsidRPr="00E7313C" w:rsidRDefault="00DA62B6" w:rsidP="00E7313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6042BA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6042BA">
        <w:rPr>
          <w:rFonts w:ascii="Times New Roman" w:hAnsi="Times New Roman" w:cs="Times New Roman"/>
          <w:b/>
          <w:sz w:val="28"/>
          <w:szCs w:val="28"/>
        </w:rPr>
        <w:t>в состав общественн</w:t>
      </w:r>
      <w:r w:rsidR="00D54E71">
        <w:rPr>
          <w:rFonts w:ascii="Times New Roman" w:hAnsi="Times New Roman" w:cs="Times New Roman"/>
          <w:b/>
          <w:sz w:val="28"/>
          <w:szCs w:val="28"/>
        </w:rPr>
        <w:t>ого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E7313C">
        <w:rPr>
          <w:rFonts w:ascii="Times New Roman" w:hAnsi="Times New Roman" w:cs="Times New Roman"/>
          <w:b/>
          <w:sz w:val="28"/>
          <w:szCs w:val="28"/>
        </w:rPr>
        <w:t>а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 по проведению </w:t>
      </w:r>
      <w:r w:rsidR="00E7313C" w:rsidRPr="00E7313C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Краснодарском крае</w:t>
      </w:r>
    </w:p>
    <w:p w:rsidR="00DA62B6" w:rsidRPr="006042BA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042BA" w:rsidRDefault="00DA62B6" w:rsidP="00E73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2B6" w:rsidRDefault="00DA62B6" w:rsidP="00604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06EF" w:rsidRPr="006042BA" w:rsidRDefault="005206EF" w:rsidP="00604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042BA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6042BA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общественн</w:t>
      </w:r>
      <w:r w:rsidR="00E7313C">
        <w:rPr>
          <w:rFonts w:ascii="Times New Roman" w:hAnsi="Times New Roman" w:cs="Times New Roman"/>
          <w:sz w:val="28"/>
          <w:szCs w:val="28"/>
        </w:rPr>
        <w:t>ого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313C">
        <w:rPr>
          <w:rFonts w:ascii="Times New Roman" w:hAnsi="Times New Roman" w:cs="Times New Roman"/>
          <w:sz w:val="28"/>
          <w:szCs w:val="28"/>
        </w:rPr>
        <w:t>а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</w:t>
      </w:r>
      <w:r w:rsidR="003F6150" w:rsidRPr="006042BA">
        <w:rPr>
          <w:rFonts w:ascii="Times New Roman" w:hAnsi="Times New Roman" w:cs="Times New Roman"/>
          <w:sz w:val="28"/>
          <w:szCs w:val="28"/>
        </w:rPr>
        <w:t>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6042BA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C52802" w:rsidRPr="006042BA">
        <w:rPr>
          <w:rFonts w:ascii="Times New Roman" w:hAnsi="Times New Roman" w:cs="Times New Roman"/>
          <w:sz w:val="28"/>
          <w:szCs w:val="28"/>
        </w:rPr>
        <w:t xml:space="preserve">в </w:t>
      </w:r>
      <w:r w:rsidR="003F6150" w:rsidRPr="006042BA">
        <w:rPr>
          <w:rFonts w:ascii="Times New Roman" w:hAnsi="Times New Roman" w:cs="Times New Roman"/>
          <w:sz w:val="28"/>
          <w:szCs w:val="28"/>
        </w:rPr>
        <w:t>сфер</w:t>
      </w:r>
      <w:r w:rsidR="00C52802" w:rsidRPr="006042BA">
        <w:rPr>
          <w:rFonts w:ascii="Times New Roman" w:hAnsi="Times New Roman" w:cs="Times New Roman"/>
          <w:sz w:val="28"/>
          <w:szCs w:val="28"/>
        </w:rPr>
        <w:t>е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, которые оказывают услуги в сфере </w:t>
      </w:r>
      <w:r w:rsidR="00C52802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BB19F1" w:rsidRPr="006042BA">
        <w:rPr>
          <w:rFonts w:ascii="Times New Roman" w:hAnsi="Times New Roman" w:cs="Times New Roman"/>
          <w:sz w:val="28"/>
          <w:szCs w:val="28"/>
        </w:rPr>
        <w:t>за счет средств бюджета Краснодарского края (далее по тексту – общественны</w:t>
      </w:r>
      <w:r w:rsidR="00E7313C">
        <w:rPr>
          <w:rFonts w:ascii="Times New Roman" w:hAnsi="Times New Roman" w:cs="Times New Roman"/>
          <w:sz w:val="28"/>
          <w:szCs w:val="28"/>
        </w:rPr>
        <w:t>й совет</w:t>
      </w:r>
      <w:r w:rsidR="00BB19F1" w:rsidRPr="006042B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организациями </w:t>
      </w:r>
      <w:r w:rsidR="003F615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B19F1" w:rsidRPr="006042BA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3C" w:rsidRDefault="00E7313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BA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lastRenderedPageBreak/>
        <w:t>2. Конкурсная комиссия</w:t>
      </w:r>
    </w:p>
    <w:p w:rsidR="00E7313C" w:rsidRDefault="00E7313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объединений инвалидов в состав общественн</w:t>
      </w:r>
      <w:r w:rsidR="00E7313C">
        <w:rPr>
          <w:rFonts w:ascii="Times New Roman" w:hAnsi="Times New Roman" w:cs="Times New Roman"/>
          <w:sz w:val="28"/>
          <w:szCs w:val="28"/>
        </w:rPr>
        <w:t>ого</w:t>
      </w:r>
      <w:r w:rsidRPr="006042B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313C">
        <w:rPr>
          <w:rFonts w:ascii="Times New Roman" w:hAnsi="Times New Roman" w:cs="Times New Roman"/>
          <w:sz w:val="28"/>
          <w:szCs w:val="28"/>
        </w:rPr>
        <w:t>а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DF3E48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6042BA">
        <w:rPr>
          <w:rFonts w:ascii="Times New Roman" w:hAnsi="Times New Roman" w:cs="Times New Roman"/>
          <w:sz w:val="28"/>
          <w:szCs w:val="28"/>
        </w:rPr>
        <w:t>формирует конкурсную комиссию из числа членов Общественной палаты Краснодарского края.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общественных объединений в состав общественн</w:t>
      </w:r>
      <w:r w:rsidR="00E7313C">
        <w:rPr>
          <w:rFonts w:ascii="Times New Roman" w:hAnsi="Times New Roman" w:cs="Times New Roman"/>
          <w:b/>
          <w:sz w:val="28"/>
          <w:szCs w:val="28"/>
        </w:rPr>
        <w:t>ого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E7313C">
        <w:rPr>
          <w:rFonts w:ascii="Times New Roman" w:hAnsi="Times New Roman" w:cs="Times New Roman"/>
          <w:b/>
          <w:sz w:val="28"/>
          <w:szCs w:val="28"/>
        </w:rPr>
        <w:t>а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b/>
          <w:sz w:val="28"/>
          <w:szCs w:val="28"/>
        </w:rPr>
        <w:t>здравоохране</w:t>
      </w:r>
      <w:r w:rsidR="00EF78B4" w:rsidRPr="006042B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7313C" w:rsidRPr="006042BA" w:rsidRDefault="00E7313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6042BA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6042BA">
        <w:rPr>
          <w:rFonts w:ascii="Times New Roman" w:hAnsi="Times New Roman" w:cs="Times New Roman"/>
          <w:sz w:val="28"/>
          <w:szCs w:val="28"/>
        </w:rPr>
        <w:t>Извещение о проведении отбора представителей общественных организаций, созданных в целях защиты прав граждан, общественных объединений инвалидов в состав общественн</w:t>
      </w:r>
      <w:r w:rsidR="00E7313C">
        <w:rPr>
          <w:rFonts w:ascii="Times New Roman" w:hAnsi="Times New Roman" w:cs="Times New Roman"/>
          <w:sz w:val="28"/>
          <w:szCs w:val="28"/>
        </w:rPr>
        <w:t>ого</w:t>
      </w:r>
      <w:r w:rsidR="00AC60DE" w:rsidRPr="006042B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313C">
        <w:rPr>
          <w:rFonts w:ascii="Times New Roman" w:hAnsi="Times New Roman" w:cs="Times New Roman"/>
          <w:sz w:val="28"/>
          <w:szCs w:val="28"/>
        </w:rPr>
        <w:t>а</w:t>
      </w:r>
      <w:r w:rsidR="00AC60DE" w:rsidRPr="006042B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AC60DE" w:rsidRPr="006042BA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6042BA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6042BA">
        <w:rPr>
          <w:rFonts w:ascii="Times New Roman" w:hAnsi="Times New Roman" w:cs="Times New Roman"/>
          <w:sz w:val="28"/>
          <w:szCs w:val="28"/>
        </w:rPr>
        <w:t>ой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6042BA">
        <w:rPr>
          <w:rFonts w:ascii="Times New Roman" w:hAnsi="Times New Roman" w:cs="Times New Roman"/>
          <w:sz w:val="28"/>
          <w:szCs w:val="28"/>
        </w:rPr>
        <w:t>ой</w:t>
      </w:r>
      <w:r w:rsidRPr="006042BA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6042BA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3.2. Срок подачи заявок на участие в отборе представителей общественных организаций, созданных в целях защиты прав граждан, общественных объединений инвалидов в состав общественн</w:t>
      </w:r>
      <w:r w:rsidR="00E7313C">
        <w:rPr>
          <w:rFonts w:ascii="Times New Roman" w:hAnsi="Times New Roman" w:cs="Times New Roman"/>
          <w:sz w:val="28"/>
          <w:szCs w:val="28"/>
        </w:rPr>
        <w:t>ого</w:t>
      </w:r>
      <w:r w:rsidRPr="006042B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313C">
        <w:rPr>
          <w:rFonts w:ascii="Times New Roman" w:hAnsi="Times New Roman" w:cs="Times New Roman"/>
          <w:sz w:val="28"/>
          <w:szCs w:val="28"/>
        </w:rPr>
        <w:t>а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DF3E48" w:rsidRPr="006042BA">
        <w:rPr>
          <w:rFonts w:ascii="Times New Roman" w:hAnsi="Times New Roman" w:cs="Times New Roman"/>
          <w:sz w:val="28"/>
          <w:szCs w:val="28"/>
        </w:rPr>
        <w:t>в сфере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E45F51" w:rsidRPr="006042BA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6042BA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3.3. Правом выдвижения кандидатур в общественный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DF3E48" w:rsidRPr="006042BA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6042BA">
        <w:rPr>
          <w:rFonts w:ascii="Times New Roman" w:hAnsi="Times New Roman" w:cs="Times New Roman"/>
          <w:sz w:val="28"/>
          <w:szCs w:val="28"/>
        </w:rPr>
        <w:t>сфер</w:t>
      </w:r>
      <w:r w:rsidR="00DF3E48" w:rsidRPr="006042BA">
        <w:rPr>
          <w:rFonts w:ascii="Times New Roman" w:hAnsi="Times New Roman" w:cs="Times New Roman"/>
          <w:sz w:val="28"/>
          <w:szCs w:val="28"/>
        </w:rPr>
        <w:t>е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3.4. Заявка на участие в отборе представителей общественных объединений в состав 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AC60DE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45F51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042BA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B781F" w:rsidRPr="006042BA">
        <w:rPr>
          <w:rFonts w:ascii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</w:t>
      </w:r>
      <w:r w:rsidR="000F7304" w:rsidRPr="006042BA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DB781F" w:rsidRPr="006042BA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е) заявление кандидата о согласии войти в состав 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E45F51" w:rsidRPr="006042BA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EF78B4" w:rsidRPr="006042BA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6042BA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8D3640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3.6. </w:t>
      </w:r>
      <w:r w:rsidR="008D3640"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proofErr w:type="gramStart"/>
      <w:r w:rsidR="008D364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D3640" w:rsidRPr="006042BA">
        <w:rPr>
          <w:rFonts w:ascii="Times New Roman" w:hAnsi="Times New Roman" w:cs="Times New Roman"/>
          <w:sz w:val="28"/>
          <w:szCs w:val="28"/>
        </w:rPr>
        <w:t>по независимой оценке</w:t>
      </w:r>
      <w:proofErr w:type="gramEnd"/>
      <w:r w:rsidR="008D3640"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в сфере здравоохранения</w:t>
      </w:r>
      <w:r w:rsidR="008D3640">
        <w:rPr>
          <w:rFonts w:ascii="Times New Roman" w:hAnsi="Times New Roman" w:cs="Times New Roman"/>
          <w:sz w:val="28"/>
          <w:szCs w:val="28"/>
        </w:rPr>
        <w:t xml:space="preserve"> утверждается сроком на три года. При формировании общественного </w:t>
      </w:r>
      <w:proofErr w:type="gramStart"/>
      <w:r w:rsidR="008D3640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="008D3640">
        <w:rPr>
          <w:rFonts w:ascii="Times New Roman" w:hAnsi="Times New Roman" w:cs="Times New Roman"/>
          <w:sz w:val="28"/>
          <w:szCs w:val="28"/>
        </w:rPr>
        <w:t xml:space="preserve"> качества на новый срок осуществляется изменение не менее трети его состава.</w:t>
      </w:r>
    </w:p>
    <w:p w:rsidR="00BF7B05" w:rsidRPr="006042BA" w:rsidRDefault="008D3640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6042BA">
        <w:rPr>
          <w:rFonts w:ascii="Times New Roman" w:hAnsi="Times New Roman" w:cs="Times New Roman"/>
          <w:sz w:val="28"/>
          <w:szCs w:val="28"/>
        </w:rPr>
        <w:t xml:space="preserve">В состав 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в сфере здравоохранения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здравоохранения, а также руководители (их заместители) и работники организаций, осуществляющих деятельность в указанной сфере.</w:t>
      </w:r>
    </w:p>
    <w:p w:rsidR="00BF7B05" w:rsidRPr="006042BA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3.</w:t>
      </w:r>
      <w:r w:rsidR="00986DC6">
        <w:rPr>
          <w:rFonts w:ascii="Times New Roman" w:hAnsi="Times New Roman" w:cs="Times New Roman"/>
          <w:sz w:val="28"/>
          <w:szCs w:val="28"/>
        </w:rPr>
        <w:t>8</w:t>
      </w:r>
      <w:r w:rsidRPr="006042BA">
        <w:rPr>
          <w:rFonts w:ascii="Times New Roman" w:hAnsi="Times New Roman" w:cs="Times New Roman"/>
          <w:sz w:val="28"/>
          <w:szCs w:val="28"/>
        </w:rPr>
        <w:t xml:space="preserve">. Подача документов от общественных объединений для выдвижения своих представителей в состав Общественной палаты 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6042BA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0F7304" w:rsidRPr="006042BA">
        <w:rPr>
          <w:rFonts w:ascii="Times New Roman" w:hAnsi="Times New Roman" w:cs="Times New Roman"/>
          <w:sz w:val="28"/>
          <w:szCs w:val="28"/>
        </w:rPr>
        <w:t>:</w:t>
      </w:r>
      <w:r w:rsidRPr="006042BA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</w:t>
      </w:r>
      <w:r w:rsidR="00CA5802">
        <w:rPr>
          <w:rFonts w:ascii="Times New Roman" w:hAnsi="Times New Roman" w:cs="Times New Roman"/>
          <w:sz w:val="28"/>
          <w:szCs w:val="28"/>
        </w:rPr>
        <w:t>8</w:t>
      </w:r>
      <w:r w:rsidRPr="00604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42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042BA">
        <w:rPr>
          <w:rFonts w:ascii="Times New Roman" w:hAnsi="Times New Roman" w:cs="Times New Roman"/>
          <w:sz w:val="28"/>
          <w:szCs w:val="28"/>
        </w:rPr>
        <w:t xml:space="preserve">. 305, Общественная палата Краснодарского края. 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86DC6">
        <w:rPr>
          <w:rFonts w:ascii="Times New Roman" w:hAnsi="Times New Roman" w:cs="Times New Roman"/>
          <w:sz w:val="28"/>
          <w:szCs w:val="28"/>
        </w:rPr>
        <w:t>9</w:t>
      </w:r>
      <w:r w:rsidRPr="006042BA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подаются лично выдвигаемым в состав 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3.</w:t>
      </w:r>
      <w:r w:rsidR="00986DC6">
        <w:rPr>
          <w:rFonts w:ascii="Times New Roman" w:hAnsi="Times New Roman" w:cs="Times New Roman"/>
          <w:sz w:val="28"/>
          <w:szCs w:val="28"/>
        </w:rPr>
        <w:t>10</w:t>
      </w:r>
      <w:r w:rsidRPr="006042BA">
        <w:rPr>
          <w:rFonts w:ascii="Times New Roman" w:hAnsi="Times New Roman" w:cs="Times New Roman"/>
          <w:sz w:val="28"/>
          <w:szCs w:val="28"/>
        </w:rPr>
        <w:t>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3.1</w:t>
      </w:r>
      <w:r w:rsidR="00986DC6">
        <w:rPr>
          <w:rFonts w:ascii="Times New Roman" w:hAnsi="Times New Roman" w:cs="Times New Roman"/>
          <w:sz w:val="28"/>
          <w:szCs w:val="28"/>
        </w:rPr>
        <w:t>1</w:t>
      </w:r>
      <w:r w:rsidRPr="006042BA">
        <w:rPr>
          <w:rFonts w:ascii="Times New Roman" w:hAnsi="Times New Roman" w:cs="Times New Roman"/>
          <w:sz w:val="28"/>
          <w:szCs w:val="28"/>
        </w:rPr>
        <w:t>. Документы, поданные не в полном объеме, поданные неуполномоченным лицом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2BA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5206EF" w:rsidRPr="006042BA" w:rsidRDefault="005206EF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B" w:rsidRPr="006042BA" w:rsidRDefault="00D54E71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268BB" w:rsidRPr="006042BA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6042BA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6042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8D3640" w:rsidRDefault="008D3640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42BA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BA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общественных объединений в состав общественн</w:t>
      </w:r>
      <w:r w:rsidR="00E7313C">
        <w:rPr>
          <w:rFonts w:ascii="Times New Roman" w:hAnsi="Times New Roman" w:cs="Times New Roman"/>
          <w:b/>
          <w:sz w:val="28"/>
          <w:szCs w:val="28"/>
        </w:rPr>
        <w:t>ого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42BA">
        <w:rPr>
          <w:rFonts w:ascii="Times New Roman" w:hAnsi="Times New Roman" w:cs="Times New Roman"/>
          <w:b/>
          <w:sz w:val="28"/>
          <w:szCs w:val="28"/>
        </w:rPr>
        <w:t>совет</w:t>
      </w:r>
      <w:r w:rsidR="00E7313C">
        <w:rPr>
          <w:rFonts w:ascii="Times New Roman" w:hAnsi="Times New Roman" w:cs="Times New Roman"/>
          <w:b/>
          <w:sz w:val="28"/>
          <w:szCs w:val="28"/>
        </w:rPr>
        <w:t>а</w:t>
      </w:r>
      <w:r w:rsidRPr="006042BA">
        <w:rPr>
          <w:rFonts w:ascii="Times New Roman" w:hAnsi="Times New Roman" w:cs="Times New Roman"/>
          <w:b/>
          <w:sz w:val="28"/>
          <w:szCs w:val="28"/>
        </w:rPr>
        <w:t xml:space="preserve"> по независимой оценке</w:t>
      </w:r>
      <w:proofErr w:type="gramEnd"/>
      <w:r w:rsidRPr="006042BA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432ED3" w:rsidRPr="006042BA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6042BA">
        <w:rPr>
          <w:rFonts w:ascii="Times New Roman" w:hAnsi="Times New Roman" w:cs="Times New Roman"/>
          <w:b/>
          <w:sz w:val="28"/>
          <w:szCs w:val="28"/>
        </w:rPr>
        <w:t>ния услуг о</w:t>
      </w:r>
      <w:r w:rsidR="000F7304" w:rsidRPr="006042BA">
        <w:rPr>
          <w:rFonts w:ascii="Times New Roman" w:hAnsi="Times New Roman" w:cs="Times New Roman"/>
          <w:b/>
          <w:sz w:val="28"/>
          <w:szCs w:val="28"/>
        </w:rPr>
        <w:t>рганизациями в сфере здравоохранения</w:t>
      </w:r>
    </w:p>
    <w:p w:rsidR="005206EF" w:rsidRPr="006042BA" w:rsidRDefault="005206EF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C" w:rsidRPr="006042BA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общественных объединений в состав общественн</w:t>
      </w:r>
      <w:r w:rsidR="00E7313C">
        <w:rPr>
          <w:rFonts w:ascii="Times New Roman" w:hAnsi="Times New Roman" w:cs="Times New Roman"/>
          <w:sz w:val="28"/>
          <w:szCs w:val="28"/>
        </w:rPr>
        <w:t>ого</w:t>
      </w:r>
      <w:r w:rsidRPr="00604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</w:t>
      </w:r>
      <w:r w:rsidR="00E7313C">
        <w:rPr>
          <w:rFonts w:ascii="Times New Roman" w:hAnsi="Times New Roman" w:cs="Times New Roman"/>
          <w:sz w:val="28"/>
          <w:szCs w:val="28"/>
        </w:rPr>
        <w:t>а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6042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042BA">
        <w:rPr>
          <w:rFonts w:ascii="Times New Roman" w:hAnsi="Times New Roman" w:cs="Times New Roman"/>
          <w:sz w:val="28"/>
          <w:szCs w:val="28"/>
        </w:rPr>
        <w:t xml:space="preserve"> проводится не позднее 3 (трех) рабочих дней со дня окончания приема документов.</w:t>
      </w:r>
    </w:p>
    <w:p w:rsidR="00556F08" w:rsidRPr="006042BA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В состав общественного </w:t>
      </w:r>
      <w:proofErr w:type="gramStart"/>
      <w:r w:rsidRPr="006042BA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6042B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6042B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042BA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="00404F27" w:rsidRPr="006042BA">
        <w:rPr>
          <w:rFonts w:ascii="Times New Roman" w:hAnsi="Times New Roman" w:cs="Times New Roman"/>
          <w:sz w:val="28"/>
          <w:szCs w:val="28"/>
        </w:rPr>
        <w:t>считаю</w:t>
      </w:r>
      <w:r w:rsidRPr="006042BA">
        <w:rPr>
          <w:rFonts w:ascii="Times New Roman" w:hAnsi="Times New Roman" w:cs="Times New Roman"/>
          <w:sz w:val="28"/>
          <w:szCs w:val="28"/>
        </w:rPr>
        <w:t>тся избранным</w:t>
      </w:r>
      <w:r w:rsidR="00404F27" w:rsidRPr="006042BA">
        <w:rPr>
          <w:rFonts w:ascii="Times New Roman" w:hAnsi="Times New Roman" w:cs="Times New Roman"/>
          <w:sz w:val="28"/>
          <w:szCs w:val="28"/>
        </w:rPr>
        <w:t>и</w:t>
      </w:r>
      <w:r w:rsidRPr="006042BA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04F27" w:rsidRPr="006042BA">
        <w:rPr>
          <w:rFonts w:ascii="Times New Roman" w:hAnsi="Times New Roman" w:cs="Times New Roman"/>
          <w:sz w:val="28"/>
          <w:szCs w:val="28"/>
        </w:rPr>
        <w:t>ы</w:t>
      </w:r>
      <w:r w:rsidRPr="006042BA">
        <w:rPr>
          <w:rFonts w:ascii="Times New Roman" w:hAnsi="Times New Roman" w:cs="Times New Roman"/>
          <w:sz w:val="28"/>
          <w:szCs w:val="28"/>
        </w:rPr>
        <w:t>, набравши</w:t>
      </w:r>
      <w:r w:rsidR="00404F27" w:rsidRPr="006042BA">
        <w:rPr>
          <w:rFonts w:ascii="Times New Roman" w:hAnsi="Times New Roman" w:cs="Times New Roman"/>
          <w:sz w:val="28"/>
          <w:szCs w:val="28"/>
        </w:rPr>
        <w:t>е</w:t>
      </w:r>
      <w:r w:rsidRPr="006042BA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</w:t>
      </w:r>
      <w:proofErr w:type="spellStart"/>
      <w:r w:rsidRPr="006042BA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6042BA">
        <w:rPr>
          <w:rFonts w:ascii="Times New Roman" w:hAnsi="Times New Roman" w:cs="Times New Roman"/>
          <w:sz w:val="28"/>
          <w:szCs w:val="28"/>
        </w:rPr>
        <w:t>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8B315C" w:rsidRPr="006042BA" w:rsidRDefault="00556F08" w:rsidP="008B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5.6. </w:t>
      </w:r>
      <w:r w:rsidR="008B315C" w:rsidRPr="006042BA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8B315C" w:rsidRPr="006042BA" w:rsidRDefault="008B315C" w:rsidP="008B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6042BA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>5.8.</w:t>
      </w:r>
      <w:r w:rsidRPr="006042BA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F7304" w:rsidRPr="006042BA">
        <w:rPr>
          <w:rFonts w:ascii="Times New Roman" w:hAnsi="Times New Roman" w:cs="Times New Roman"/>
          <w:sz w:val="28"/>
          <w:szCs w:val="28"/>
        </w:rPr>
        <w:t>здравоохранения</w:t>
      </w:r>
      <w:r w:rsidR="003345F0" w:rsidRPr="006042BA">
        <w:rPr>
          <w:rFonts w:ascii="Times New Roman" w:hAnsi="Times New Roman" w:cs="Times New Roman"/>
          <w:sz w:val="28"/>
          <w:szCs w:val="28"/>
        </w:rPr>
        <w:t xml:space="preserve"> </w:t>
      </w:r>
      <w:r w:rsidRPr="006042BA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</w:t>
      </w:r>
      <w:r w:rsidR="00E7313C">
        <w:rPr>
          <w:rFonts w:ascii="Times New Roman" w:hAnsi="Times New Roman" w:cs="Times New Roman"/>
          <w:sz w:val="24"/>
          <w:szCs w:val="24"/>
        </w:rPr>
        <w:t>ого</w:t>
      </w:r>
      <w:r w:rsidRPr="00B93D7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7313C">
        <w:rPr>
          <w:rFonts w:ascii="Times New Roman" w:hAnsi="Times New Roman" w:cs="Times New Roman"/>
          <w:sz w:val="24"/>
          <w:szCs w:val="24"/>
        </w:rPr>
        <w:t>а</w:t>
      </w:r>
      <w:r w:rsidRPr="00B93D7F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в сфере 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b/>
          <w:sz w:val="24"/>
          <w:szCs w:val="24"/>
        </w:rPr>
        <w:t>здравоохранения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86DC6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986D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6DC6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8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86DC6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</w:t>
      </w:r>
      <w:r w:rsidR="0098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986DC6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986D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86DC6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</w:t>
      </w:r>
      <w:r w:rsidR="00986DC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986D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6DC6" w:rsidRPr="00520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986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3D7F">
        <w:rPr>
          <w:rFonts w:ascii="Times New Roman" w:hAnsi="Times New Roman" w:cs="Times New Roman"/>
          <w:sz w:val="24"/>
          <w:szCs w:val="24"/>
        </w:rPr>
        <w:t>, на основании решения 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201__г., № _________,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9B5745" w:rsidRPr="00B93D7F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C6" w:rsidRDefault="00986DC6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C6" w:rsidRDefault="00986DC6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C6" w:rsidRPr="00B93D7F" w:rsidRDefault="00986DC6" w:rsidP="009B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5206EF" w:rsidRPr="00B93D7F" w:rsidRDefault="005206EF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</w:t>
      </w:r>
      <w:r w:rsidR="00E7313C">
        <w:rPr>
          <w:rFonts w:ascii="Times New Roman" w:hAnsi="Times New Roman" w:cs="Times New Roman"/>
          <w:sz w:val="24"/>
          <w:szCs w:val="24"/>
        </w:rPr>
        <w:t>ого</w:t>
      </w:r>
      <w:r w:rsidRPr="00B93D7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7313C">
        <w:rPr>
          <w:rFonts w:ascii="Times New Roman" w:hAnsi="Times New Roman" w:cs="Times New Roman"/>
          <w:sz w:val="24"/>
          <w:szCs w:val="24"/>
        </w:rPr>
        <w:t>а</w:t>
      </w:r>
      <w:r w:rsidRPr="00B93D7F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в сфере 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9B5745" w:rsidRPr="00B93D7F" w:rsidRDefault="009B5745" w:rsidP="009B574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</w:t>
      </w:r>
      <w:r w:rsidR="00E7313C">
        <w:rPr>
          <w:rFonts w:ascii="Times New Roman" w:hAnsi="Times New Roman" w:cs="Times New Roman"/>
          <w:sz w:val="24"/>
          <w:szCs w:val="24"/>
        </w:rPr>
        <w:t>ого</w:t>
      </w:r>
      <w:r w:rsidRPr="00B93D7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7313C">
        <w:rPr>
          <w:rFonts w:ascii="Times New Roman" w:hAnsi="Times New Roman" w:cs="Times New Roman"/>
          <w:sz w:val="24"/>
          <w:szCs w:val="24"/>
        </w:rPr>
        <w:t>а</w:t>
      </w:r>
      <w:r w:rsidRPr="00B93D7F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в сфере 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</w:t>
      </w:r>
      <w:r w:rsidR="00E7313C">
        <w:rPr>
          <w:rFonts w:ascii="Times New Roman" w:hAnsi="Times New Roman" w:cs="Times New Roman"/>
          <w:sz w:val="24"/>
          <w:szCs w:val="24"/>
        </w:rPr>
        <w:t>ого</w:t>
      </w:r>
      <w:r w:rsidRPr="00B93D7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7313C">
        <w:rPr>
          <w:rFonts w:ascii="Times New Roman" w:hAnsi="Times New Roman" w:cs="Times New Roman"/>
          <w:sz w:val="24"/>
          <w:szCs w:val="24"/>
        </w:rPr>
        <w:t>а</w:t>
      </w:r>
      <w:r w:rsidRPr="00B93D7F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9B5745" w:rsidRPr="00B93D7F" w:rsidRDefault="009B5745" w:rsidP="009B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9B5745" w:rsidRPr="00B93D7F" w:rsidRDefault="009B5745" w:rsidP="009B5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9B5745" w:rsidRPr="00B93D7F" w:rsidRDefault="009B5745" w:rsidP="009B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оценки качества условий оказания услуг организациями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вынесении в соответствии с Федеральным законом от 25 июля 2002 года № 114-ФЗ «О 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45" w:rsidRPr="00B93D7F" w:rsidTr="00DB12E3">
        <w:tc>
          <w:tcPr>
            <w:tcW w:w="846" w:type="dxa"/>
            <w:shd w:val="clear" w:color="auto" w:fill="auto"/>
          </w:tcPr>
          <w:p w:rsidR="009B5745" w:rsidRPr="00B93D7F" w:rsidRDefault="009B5745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9B5745" w:rsidRPr="00B93D7F" w:rsidRDefault="009B5745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9B5745" w:rsidRPr="00B93D7F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Pr="0025747C" w:rsidRDefault="009B5745" w:rsidP="009B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45" w:rsidRPr="006042BA" w:rsidRDefault="009B574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5745" w:rsidRPr="006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425D5"/>
    <w:rsid w:val="000F7304"/>
    <w:rsid w:val="0025747C"/>
    <w:rsid w:val="002A6485"/>
    <w:rsid w:val="002B6640"/>
    <w:rsid w:val="003345F0"/>
    <w:rsid w:val="00357304"/>
    <w:rsid w:val="003F6150"/>
    <w:rsid w:val="00404F27"/>
    <w:rsid w:val="00432ED3"/>
    <w:rsid w:val="005206EF"/>
    <w:rsid w:val="00556F08"/>
    <w:rsid w:val="006042BA"/>
    <w:rsid w:val="007B6AB6"/>
    <w:rsid w:val="008262B4"/>
    <w:rsid w:val="008B0010"/>
    <w:rsid w:val="008B315C"/>
    <w:rsid w:val="008D3640"/>
    <w:rsid w:val="009708A6"/>
    <w:rsid w:val="00986DC6"/>
    <w:rsid w:val="0098775E"/>
    <w:rsid w:val="009A16F7"/>
    <w:rsid w:val="009B0497"/>
    <w:rsid w:val="009B5745"/>
    <w:rsid w:val="009C4245"/>
    <w:rsid w:val="009F1C05"/>
    <w:rsid w:val="00A53360"/>
    <w:rsid w:val="00AC60DE"/>
    <w:rsid w:val="00B268BB"/>
    <w:rsid w:val="00B76D5C"/>
    <w:rsid w:val="00B874CF"/>
    <w:rsid w:val="00BB19F1"/>
    <w:rsid w:val="00BF7B05"/>
    <w:rsid w:val="00C52802"/>
    <w:rsid w:val="00CA5802"/>
    <w:rsid w:val="00D1179D"/>
    <w:rsid w:val="00D54E71"/>
    <w:rsid w:val="00DA62B6"/>
    <w:rsid w:val="00DB781F"/>
    <w:rsid w:val="00DF3E48"/>
    <w:rsid w:val="00E45F51"/>
    <w:rsid w:val="00E47BB5"/>
    <w:rsid w:val="00E7313C"/>
    <w:rsid w:val="00ED59E8"/>
    <w:rsid w:val="00E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8</cp:revision>
  <cp:lastPrinted>2018-03-01T07:07:00Z</cp:lastPrinted>
  <dcterms:created xsi:type="dcterms:W3CDTF">2021-02-19T07:31:00Z</dcterms:created>
  <dcterms:modified xsi:type="dcterms:W3CDTF">2021-03-30T06:03:00Z</dcterms:modified>
</cp:coreProperties>
</file>